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E3667">
      <w:pPr>
        <w:jc w:val="center"/>
        <w:rPr>
          <w:rStyle w:val="9"/>
          <w:rFonts w:hint="eastAsia" w:ascii="楷体" w:hAnsi="楷体" w:eastAsia="楷体" w:cs="楷体"/>
          <w:color w:val="000000"/>
          <w:sz w:val="32"/>
          <w:szCs w:val="32"/>
        </w:rPr>
      </w:pPr>
      <w:r>
        <w:rPr>
          <w:rStyle w:val="9"/>
          <w:rFonts w:hint="eastAsia" w:ascii="楷体" w:hAnsi="楷体" w:eastAsia="楷体" w:cs="楷体"/>
          <w:color w:val="000000"/>
          <w:sz w:val="32"/>
          <w:szCs w:val="32"/>
        </w:rPr>
        <w:t>关于对202</w:t>
      </w:r>
      <w:r>
        <w:rPr>
          <w:rStyle w:val="9"/>
          <w:rFonts w:hint="eastAsia" w:ascii="楷体" w:hAnsi="楷体" w:eastAsia="楷体" w:cs="楷体"/>
          <w:color w:val="000000"/>
          <w:sz w:val="32"/>
          <w:szCs w:val="32"/>
          <w:lang w:val="en-US" w:eastAsia="zh-CN"/>
        </w:rPr>
        <w:t>5</w:t>
      </w:r>
      <w:r>
        <w:rPr>
          <w:rStyle w:val="9"/>
          <w:rFonts w:hint="eastAsia" w:ascii="楷体" w:hAnsi="楷体" w:eastAsia="楷体" w:cs="楷体"/>
          <w:color w:val="000000"/>
          <w:sz w:val="32"/>
          <w:szCs w:val="32"/>
        </w:rPr>
        <w:t>年度浙江省科学技术奖提名成果的公示</w:t>
      </w:r>
    </w:p>
    <w:p w14:paraId="01776352">
      <w:pPr>
        <w:jc w:val="center"/>
        <w:rPr>
          <w:rStyle w:val="9"/>
          <w:rFonts w:hint="eastAsia" w:ascii="楷体" w:hAnsi="楷体" w:eastAsia="楷体" w:cs="楷体"/>
          <w:color w:val="000000"/>
          <w:sz w:val="32"/>
          <w:szCs w:val="32"/>
        </w:rPr>
      </w:pPr>
    </w:p>
    <w:p w14:paraId="0E51D878">
      <w:pPr>
        <w:ind w:firstLine="643" w:firstLineChars="200"/>
        <w:jc w:val="both"/>
        <w:rPr>
          <w:rStyle w:val="9"/>
          <w:rFonts w:hint="eastAsia" w:ascii="楷体" w:hAnsi="楷体" w:eastAsia="楷体" w:cs="楷体"/>
          <w:color w:val="000000"/>
          <w:sz w:val="32"/>
          <w:szCs w:val="32"/>
        </w:rPr>
      </w:pPr>
      <w:r>
        <w:rPr>
          <w:rStyle w:val="9"/>
          <w:rFonts w:hint="eastAsia" w:ascii="楷体" w:hAnsi="楷体" w:eastAsia="楷体" w:cs="楷体"/>
          <w:color w:val="000000"/>
          <w:sz w:val="32"/>
          <w:szCs w:val="32"/>
        </w:rPr>
        <w:t>根据浙江省科学技术厅</w:t>
      </w:r>
      <w:r>
        <w:rPr>
          <w:rStyle w:val="9"/>
          <w:rFonts w:hint="eastAsia" w:ascii="楷体" w:hAnsi="楷体" w:eastAsia="楷体" w:cs="楷体"/>
          <w:color w:val="000000"/>
          <w:sz w:val="32"/>
          <w:szCs w:val="32"/>
          <w:lang w:eastAsia="zh-CN"/>
        </w:rPr>
        <w:t>《</w:t>
      </w:r>
      <w:r>
        <w:rPr>
          <w:rStyle w:val="9"/>
          <w:rFonts w:hint="eastAsia" w:ascii="楷体" w:hAnsi="楷体" w:eastAsia="楷体" w:cs="楷体"/>
          <w:color w:val="000000"/>
          <w:sz w:val="32"/>
          <w:szCs w:val="32"/>
        </w:rPr>
        <w:t>关于开展2025年度浙江省科学技术奖提名工作的通知</w:t>
      </w:r>
      <w:r>
        <w:rPr>
          <w:rStyle w:val="9"/>
          <w:rFonts w:hint="eastAsia" w:ascii="楷体" w:hAnsi="楷体" w:eastAsia="楷体" w:cs="楷体"/>
          <w:color w:val="000000"/>
          <w:sz w:val="32"/>
          <w:szCs w:val="32"/>
          <w:lang w:eastAsia="zh-CN"/>
        </w:rPr>
        <w:t>》</w:t>
      </w:r>
      <w:r>
        <w:rPr>
          <w:rStyle w:val="9"/>
          <w:rFonts w:hint="eastAsia" w:ascii="楷体" w:hAnsi="楷体" w:eastAsia="楷体" w:cs="楷体"/>
          <w:color w:val="000000"/>
          <w:sz w:val="32"/>
          <w:szCs w:val="32"/>
        </w:rPr>
        <w:t>，拟将“超低品位战略金属固废绿色短流程高质资源化关键技术及应用”项目申报202</w:t>
      </w:r>
      <w:r>
        <w:rPr>
          <w:rStyle w:val="9"/>
          <w:rFonts w:hint="eastAsia" w:ascii="楷体" w:hAnsi="楷体" w:eastAsia="楷体" w:cs="楷体"/>
          <w:color w:val="000000"/>
          <w:sz w:val="32"/>
          <w:szCs w:val="32"/>
          <w:lang w:val="en-US" w:eastAsia="zh-CN"/>
        </w:rPr>
        <w:t>5</w:t>
      </w:r>
      <w:r>
        <w:rPr>
          <w:rStyle w:val="9"/>
          <w:rFonts w:hint="eastAsia" w:ascii="楷体" w:hAnsi="楷体" w:eastAsia="楷体" w:cs="楷体"/>
          <w:color w:val="000000"/>
          <w:sz w:val="32"/>
          <w:szCs w:val="32"/>
        </w:rPr>
        <w:t>年度浙江省科</w:t>
      </w:r>
      <w:r>
        <w:rPr>
          <w:rStyle w:val="9"/>
          <w:rFonts w:hint="eastAsia" w:ascii="楷体" w:hAnsi="楷体" w:eastAsia="楷体" w:cs="楷体"/>
          <w:color w:val="000000"/>
          <w:sz w:val="32"/>
          <w:szCs w:val="32"/>
          <w:lang w:val="en-US" w:eastAsia="zh-CN"/>
        </w:rPr>
        <w:t>学技术</w:t>
      </w:r>
      <w:r>
        <w:rPr>
          <w:rStyle w:val="9"/>
          <w:rFonts w:hint="eastAsia" w:ascii="楷体" w:hAnsi="楷体" w:eastAsia="楷体" w:cs="楷体"/>
          <w:color w:val="000000"/>
          <w:sz w:val="32"/>
          <w:szCs w:val="32"/>
        </w:rPr>
        <w:t>进步奖，现将项目主要内容进行公示。自公布之日7</w:t>
      </w:r>
      <w:r>
        <w:rPr>
          <w:rStyle w:val="9"/>
          <w:rFonts w:hint="eastAsia" w:ascii="楷体" w:hAnsi="楷体" w:eastAsia="楷体" w:cs="楷体"/>
          <w:color w:val="000000"/>
          <w:sz w:val="32"/>
          <w:szCs w:val="32"/>
          <w:lang w:val="en-US" w:eastAsia="zh-CN"/>
        </w:rPr>
        <w:t>天</w:t>
      </w:r>
      <w:r>
        <w:rPr>
          <w:rStyle w:val="9"/>
          <w:rFonts w:hint="eastAsia" w:ascii="楷体" w:hAnsi="楷体" w:eastAsia="楷体" w:cs="楷体"/>
          <w:color w:val="000000"/>
          <w:sz w:val="32"/>
          <w:szCs w:val="32"/>
        </w:rPr>
        <w:t>内，任何单位和个人对公示项目、完成单位、个人有异议的，请向</w:t>
      </w:r>
      <w:r>
        <w:rPr>
          <w:rStyle w:val="9"/>
          <w:rFonts w:hint="eastAsia" w:ascii="楷体" w:hAnsi="楷体" w:eastAsia="楷体" w:cs="楷体"/>
          <w:color w:val="000000"/>
          <w:sz w:val="32"/>
          <w:szCs w:val="32"/>
          <w:lang w:val="en-US" w:eastAsia="zh-CN"/>
        </w:rPr>
        <w:t>浙江亚通新材料股份有限公司</w:t>
      </w:r>
      <w:r>
        <w:rPr>
          <w:rStyle w:val="9"/>
          <w:rFonts w:hint="eastAsia" w:ascii="楷体" w:hAnsi="楷体" w:eastAsia="楷体" w:cs="楷体"/>
          <w:color w:val="000000"/>
          <w:sz w:val="32"/>
          <w:szCs w:val="32"/>
        </w:rPr>
        <w:t>提出。</w:t>
      </w:r>
      <w:bookmarkStart w:id="0" w:name="_GoBack"/>
      <w:bookmarkEnd w:id="0"/>
    </w:p>
    <w:p w14:paraId="5DF56942">
      <w:pPr>
        <w:ind w:firstLine="643" w:firstLineChars="200"/>
        <w:jc w:val="left"/>
        <w:rPr>
          <w:rStyle w:val="9"/>
          <w:rFonts w:hint="eastAsia" w:ascii="楷体" w:hAnsi="楷体" w:eastAsia="楷体" w:cs="楷体"/>
          <w:color w:val="000000"/>
          <w:sz w:val="32"/>
          <w:szCs w:val="32"/>
        </w:rPr>
      </w:pPr>
    </w:p>
    <w:p w14:paraId="040DF562">
      <w:pPr>
        <w:jc w:val="left"/>
        <w:rPr>
          <w:rStyle w:val="9"/>
          <w:rFonts w:hint="eastAsia" w:ascii="楷体" w:hAnsi="楷体" w:eastAsia="楷体" w:cs="楷体"/>
          <w:color w:val="000000"/>
          <w:sz w:val="32"/>
          <w:szCs w:val="32"/>
          <w:lang w:val="en-US" w:eastAsia="zh-CN"/>
        </w:rPr>
      </w:pPr>
      <w:r>
        <w:rPr>
          <w:rStyle w:val="9"/>
          <w:rFonts w:hint="eastAsia" w:ascii="楷体" w:hAnsi="楷体" w:eastAsia="楷体" w:cs="楷体"/>
          <w:color w:val="000000"/>
          <w:sz w:val="32"/>
          <w:szCs w:val="32"/>
          <w:lang w:val="en-US" w:eastAsia="zh-CN"/>
        </w:rPr>
        <w:t>公示时间：2026年06月17日至2026年06月23日</w:t>
      </w:r>
    </w:p>
    <w:p w14:paraId="7CB0D93C">
      <w:pPr>
        <w:jc w:val="left"/>
        <w:rPr>
          <w:rStyle w:val="9"/>
          <w:rFonts w:hint="eastAsia" w:ascii="楷体" w:hAnsi="楷体" w:eastAsia="楷体" w:cs="楷体"/>
          <w:color w:val="000000"/>
          <w:sz w:val="32"/>
          <w:szCs w:val="32"/>
          <w:lang w:val="en-US" w:eastAsia="zh-CN"/>
        </w:rPr>
      </w:pPr>
    </w:p>
    <w:p w14:paraId="03D5A14D">
      <w:pPr>
        <w:jc w:val="left"/>
        <w:rPr>
          <w:rStyle w:val="9"/>
          <w:rFonts w:hint="eastAsia" w:ascii="楷体" w:hAnsi="楷体" w:eastAsia="楷体" w:cs="楷体"/>
          <w:color w:val="000000"/>
          <w:sz w:val="32"/>
          <w:szCs w:val="32"/>
          <w:lang w:val="en-US" w:eastAsia="zh-CN"/>
        </w:rPr>
      </w:pPr>
    </w:p>
    <w:p w14:paraId="2D25BC57">
      <w:pPr>
        <w:jc w:val="left"/>
        <w:rPr>
          <w:rStyle w:val="9"/>
          <w:rFonts w:hint="default" w:ascii="楷体" w:hAnsi="楷体" w:eastAsia="楷体" w:cs="楷体"/>
          <w:color w:val="000000"/>
          <w:sz w:val="32"/>
          <w:szCs w:val="32"/>
          <w:lang w:val="en-US" w:eastAsia="zh-CN"/>
        </w:rPr>
        <w:sectPr>
          <w:pgSz w:w="11906" w:h="16838"/>
          <w:pgMar w:top="1440" w:right="1276" w:bottom="1440" w:left="1797" w:header="709" w:footer="709" w:gutter="0"/>
          <w:cols w:space="708" w:num="1"/>
          <w:docGrid w:linePitch="360" w:charSpace="0"/>
        </w:sectPr>
      </w:pPr>
      <w:r>
        <w:rPr>
          <w:rStyle w:val="9"/>
          <w:rFonts w:hint="eastAsia" w:ascii="楷体" w:hAnsi="楷体" w:eastAsia="楷体" w:cs="楷体"/>
          <w:color w:val="000000"/>
          <w:sz w:val="32"/>
          <w:szCs w:val="32"/>
          <w:lang w:val="en-US" w:eastAsia="zh-CN"/>
        </w:rPr>
        <w:t>联系电话：13735430448</w:t>
      </w:r>
    </w:p>
    <w:p w14:paraId="7C255B8A">
      <w:pPr>
        <w:jc w:val="center"/>
        <w:rPr>
          <w:rStyle w:val="9"/>
          <w:rFonts w:ascii="方正小标宋简体" w:eastAsia="方正小标宋简体"/>
          <w:bCs w:val="0"/>
          <w:color w:val="000000"/>
          <w:sz w:val="36"/>
          <w:szCs w:val="36"/>
        </w:rPr>
      </w:pPr>
      <w:r>
        <w:rPr>
          <w:rStyle w:val="9"/>
          <w:rFonts w:hint="eastAsia" w:ascii="方正小标宋简体" w:eastAsia="方正小标宋简体"/>
          <w:color w:val="000000"/>
          <w:sz w:val="36"/>
          <w:szCs w:val="36"/>
        </w:rPr>
        <w:t>浙江省科学技术奖</w:t>
      </w:r>
      <w:r>
        <w:rPr>
          <w:rStyle w:val="9"/>
          <w:rFonts w:ascii="方正小标宋简体" w:eastAsia="方正小标宋简体"/>
          <w:color w:val="000000"/>
          <w:sz w:val="36"/>
          <w:szCs w:val="36"/>
        </w:rPr>
        <w:t>公示信息表</w:t>
      </w:r>
      <w:r>
        <w:rPr>
          <w:rStyle w:val="9"/>
          <w:rFonts w:hint="eastAsia" w:ascii="仿宋_GB2312" w:eastAsia="仿宋_GB2312"/>
          <w:color w:val="000000"/>
          <w:sz w:val="32"/>
          <w:szCs w:val="32"/>
        </w:rPr>
        <w:t>（单位提名）</w:t>
      </w:r>
    </w:p>
    <w:p w14:paraId="31B9112E">
      <w:pPr>
        <w:spacing w:line="440" w:lineRule="exact"/>
        <w:rPr>
          <w:rFonts w:hint="eastAsia" w:ascii="仿宋_GB2312" w:hAnsi="仿宋" w:eastAsia="仿宋_GB2312" w:cs="仿宋"/>
          <w:color w:val="000000" w:themeColor="text1"/>
          <w:sz w:val="28"/>
          <w:szCs w:val="24"/>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提名奖项：科学技术进步奖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7116"/>
      </w:tblGrid>
      <w:tr w14:paraId="5636B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560" w:type="dxa"/>
            <w:vAlign w:val="center"/>
          </w:tcPr>
          <w:p w14:paraId="6BBF6993">
            <w:pPr>
              <w:jc w:val="center"/>
              <w:rPr>
                <w:rStyle w:val="9"/>
                <w:rFonts w:hint="default" w:ascii="Times New Roman" w:hAnsi="Times New Roman" w:eastAsia="仿宋_GB2312" w:cs="Times New Roman"/>
                <w:b w:val="0"/>
                <w:color w:val="000000"/>
                <w:sz w:val="28"/>
              </w:rPr>
            </w:pPr>
            <w:r>
              <w:rPr>
                <w:rStyle w:val="9"/>
                <w:rFonts w:hint="default" w:ascii="Times New Roman" w:hAnsi="Times New Roman" w:eastAsia="仿宋_GB2312" w:cs="Times New Roman"/>
                <w:color w:val="000000"/>
                <w:sz w:val="28"/>
              </w:rPr>
              <w:t>成果名称</w:t>
            </w:r>
          </w:p>
        </w:tc>
        <w:tc>
          <w:tcPr>
            <w:tcW w:w="7116" w:type="dxa"/>
            <w:vAlign w:val="center"/>
          </w:tcPr>
          <w:p w14:paraId="20600989">
            <w:pPr>
              <w:spacing w:line="44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仿宋" w:cs="Times New Roman"/>
                <w:sz w:val="24"/>
                <w:szCs w:val="24"/>
              </w:rPr>
              <w:t>超低品位战略金属固废绿色短流程高质资源化关键技术及应用</w:t>
            </w:r>
          </w:p>
        </w:tc>
      </w:tr>
      <w:tr w14:paraId="13B49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560" w:type="dxa"/>
            <w:vAlign w:val="center"/>
          </w:tcPr>
          <w:p w14:paraId="707ADDC0">
            <w:pPr>
              <w:jc w:val="center"/>
              <w:rPr>
                <w:rStyle w:val="9"/>
                <w:rFonts w:hint="default" w:ascii="Times New Roman" w:hAnsi="Times New Roman" w:eastAsia="仿宋_GB2312" w:cs="Times New Roman"/>
                <w:b w:val="0"/>
                <w:color w:val="000000"/>
                <w:sz w:val="28"/>
              </w:rPr>
            </w:pPr>
            <w:r>
              <w:rPr>
                <w:rStyle w:val="9"/>
                <w:rFonts w:hint="default" w:ascii="Times New Roman" w:hAnsi="Times New Roman" w:eastAsia="仿宋_GB2312" w:cs="Times New Roman"/>
                <w:color w:val="000000"/>
                <w:sz w:val="28"/>
              </w:rPr>
              <w:t>提名等级</w:t>
            </w:r>
          </w:p>
        </w:tc>
        <w:tc>
          <w:tcPr>
            <w:tcW w:w="7116" w:type="dxa"/>
            <w:vAlign w:val="center"/>
          </w:tcPr>
          <w:p w14:paraId="3C24E529">
            <w:pPr>
              <w:jc w:val="center"/>
              <w:rPr>
                <w:rFonts w:hint="default" w:ascii="Times New Roman" w:hAnsi="Times New Roman" w:eastAsia="仿宋" w:cs="Times New Roman"/>
                <w:bCs/>
                <w:sz w:val="24"/>
                <w:szCs w:val="22"/>
              </w:rPr>
            </w:pPr>
            <w:r>
              <w:rPr>
                <w:rFonts w:hint="default" w:ascii="Times New Roman" w:hAnsi="Times New Roman" w:eastAsia="仿宋" w:cs="Times New Roman"/>
                <w:bCs/>
                <w:sz w:val="24"/>
                <w:szCs w:val="22"/>
                <w:lang w:val="en-US" w:eastAsia="zh-CN"/>
              </w:rPr>
              <w:t>一</w:t>
            </w:r>
            <w:r>
              <w:rPr>
                <w:rFonts w:hint="default" w:ascii="Times New Roman" w:hAnsi="Times New Roman" w:eastAsia="仿宋" w:cs="Times New Roman"/>
                <w:bCs/>
                <w:sz w:val="24"/>
                <w:szCs w:val="22"/>
              </w:rPr>
              <w:t>等奖</w:t>
            </w:r>
          </w:p>
        </w:tc>
      </w:tr>
      <w:tr w14:paraId="04E90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560" w:type="dxa"/>
            <w:vAlign w:val="center"/>
          </w:tcPr>
          <w:p w14:paraId="2FCB1E6C">
            <w:pPr>
              <w:spacing w:line="440" w:lineRule="exact"/>
              <w:jc w:val="center"/>
              <w:rPr>
                <w:rFonts w:hint="default" w:ascii="Times New Roman" w:hAnsi="Times New Roman" w:eastAsia="仿宋_GB2312" w:cs="Times New Roman"/>
                <w:b/>
                <w:color w:val="000000" w:themeColor="text1"/>
                <w:sz w:val="28"/>
                <w:szCs w:val="24"/>
                <w14:textFill>
                  <w14:solidFill>
                    <w14:schemeClr w14:val="tx1"/>
                  </w14:solidFill>
                </w14:textFill>
              </w:rPr>
            </w:pPr>
            <w:r>
              <w:rPr>
                <w:rFonts w:hint="default" w:ascii="Times New Roman" w:hAnsi="Times New Roman" w:eastAsia="仿宋_GB2312" w:cs="Times New Roman"/>
                <w:b/>
                <w:color w:val="000000" w:themeColor="text1"/>
                <w:sz w:val="28"/>
                <w:szCs w:val="24"/>
                <w14:textFill>
                  <w14:solidFill>
                    <w14:schemeClr w14:val="tx1"/>
                  </w14:solidFill>
                </w14:textFill>
              </w:rPr>
              <w:t>提名书</w:t>
            </w:r>
          </w:p>
          <w:p w14:paraId="6B71B41D">
            <w:pPr>
              <w:spacing w:line="440" w:lineRule="exact"/>
              <w:jc w:val="center"/>
              <w:rPr>
                <w:rFonts w:hint="default" w:ascii="Times New Roman" w:hAnsi="Times New Roman" w:eastAsia="仿宋_GB2312" w:cs="Times New Roman"/>
                <w:bCs/>
                <w:color w:val="000000" w:themeColor="text1"/>
                <w:sz w:val="28"/>
                <w:szCs w:val="24"/>
                <w14:textFill>
                  <w14:solidFill>
                    <w14:schemeClr w14:val="tx1"/>
                  </w14:solidFill>
                </w14:textFill>
              </w:rPr>
            </w:pPr>
            <w:r>
              <w:rPr>
                <w:rFonts w:hint="default" w:ascii="Times New Roman" w:hAnsi="Times New Roman" w:eastAsia="仿宋_GB2312" w:cs="Times New Roman"/>
                <w:b/>
                <w:color w:val="000000" w:themeColor="text1"/>
                <w:sz w:val="28"/>
                <w:szCs w:val="24"/>
                <w14:textFill>
                  <w14:solidFill>
                    <w14:schemeClr w14:val="tx1"/>
                  </w14:solidFill>
                </w14:textFill>
              </w:rPr>
              <w:t>相关内容</w:t>
            </w:r>
          </w:p>
        </w:tc>
        <w:tc>
          <w:tcPr>
            <w:tcW w:w="7116" w:type="dxa"/>
            <w:vAlign w:val="center"/>
          </w:tcPr>
          <w:p w14:paraId="5BCC6530">
            <w:pPr>
              <w:numPr>
                <w:ilvl w:val="0"/>
                <w:numId w:val="1"/>
              </w:numPr>
              <w:spacing w:line="440" w:lineRule="exact"/>
              <w:rPr>
                <w:rFonts w:hint="default" w:ascii="Times New Roman" w:hAnsi="Times New Roman" w:eastAsia="仿宋" w:cs="Times New Roman"/>
                <w:b/>
                <w:bCs/>
                <w:sz w:val="24"/>
                <w:szCs w:val="22"/>
                <w:lang w:val="en-US" w:eastAsia="zh-CN"/>
              </w:rPr>
            </w:pPr>
            <w:r>
              <w:rPr>
                <w:rFonts w:hint="default" w:ascii="Times New Roman" w:hAnsi="Times New Roman" w:eastAsia="仿宋" w:cs="Times New Roman"/>
                <w:b/>
                <w:bCs/>
                <w:sz w:val="24"/>
                <w:szCs w:val="22"/>
                <w:lang w:val="en-US" w:eastAsia="zh-CN"/>
              </w:rPr>
              <w:t>代表性发明专利</w:t>
            </w:r>
          </w:p>
          <w:p w14:paraId="4AC2278D">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rPr>
              <w:t>周立钢</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周立峰</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董显维</w:t>
            </w:r>
            <w:r>
              <w:rPr>
                <w:rFonts w:hint="default" w:ascii="Times New Roman" w:hAnsi="Times New Roman" w:eastAsia="仿宋" w:cs="Times New Roman"/>
                <w:sz w:val="24"/>
                <w:szCs w:val="24"/>
                <w:lang w:val="en-US" w:eastAsia="zh-CN"/>
              </w:rPr>
              <w:t>等</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一种往复式快拉系统及其控制方法</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 xml:space="preserve">中国, 专利号: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"https://lishui.uyanip.com/result?exp=SHOUQH:(CN109432840B)" \t "https://lishui.uyanip.com/_blank"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lang w:val="en-US" w:eastAsia="zh-CN"/>
              </w:rPr>
              <w:t>ZL</w:t>
            </w:r>
            <w:r>
              <w:rPr>
                <w:rFonts w:hint="default" w:ascii="Times New Roman" w:hAnsi="Times New Roman" w:eastAsia="仿宋" w:cs="Times New Roman"/>
                <w:sz w:val="24"/>
                <w:szCs w:val="24"/>
              </w:rPr>
              <w:t>201811577464.3</w:t>
            </w:r>
            <w:r>
              <w:rPr>
                <w:rFonts w:hint="default" w:ascii="Times New Roman" w:hAnsi="Times New Roman" w:eastAsia="仿宋" w:cs="Times New Roman"/>
                <w:sz w:val="24"/>
                <w:szCs w:val="24"/>
              </w:rPr>
              <w:fldChar w:fldCharType="end"/>
            </w:r>
            <w:r>
              <w:rPr>
                <w:rFonts w:hint="eastAsia" w:ascii="Times New Roman" w:hAnsi="Times New Roman" w:eastAsia="仿宋" w:cs="Times New Roman"/>
                <w:sz w:val="24"/>
                <w:szCs w:val="24"/>
                <w:lang w:val="en-US" w:eastAsia="zh-CN"/>
              </w:rPr>
              <w:t>, 专利权有效。</w:t>
            </w:r>
          </w:p>
          <w:p w14:paraId="6ABA8CDF">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饶宾期</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焦燕红</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邓龙等</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污泥含水率检测装置及检测方法</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 专利号: ZL202111520149.9</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4181F5B4">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朱有法</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金子杰</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杨长城</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智能化污泥除湿干化装置</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 专利号: ZL201811164800.1</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1BEEC0E7">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曹海宙</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林晖</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万孟等</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与含银阳极泥回收装置相适配的多级回收辅助组件</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 专利号: ZL202410112923.X</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7D4FFE4D">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钟海</w:t>
            </w:r>
            <w:r>
              <w:rPr>
                <w:rFonts w:hint="eastAsia" w:eastAsia="仿宋" w:cs="Times New Roman"/>
                <w:b/>
                <w:bCs/>
                <w:sz w:val="24"/>
                <w:szCs w:val="24"/>
                <w:lang w:val="en-US" w:eastAsia="zh-CN"/>
              </w:rPr>
              <w:t>锋</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冯斌</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刘平等</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一种焊片/焊环表面涂覆助焊剂的方法. 中国, 专利号: ZL202111239417.X</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640876FC">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曹海宙</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林晖</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一种从冶炼废渣中高效回收银的工艺</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 xml:space="preserve"> 专利号</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ZL202111427279.8</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018034D4">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肖成梁</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丁岸汀</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刘川楹</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一种高浓度盐溶液提取贵金属元素的方法</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专利号: ZL202210070186.2</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42083C33">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黄鹏</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鞠景喜</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陈华</w:t>
            </w:r>
            <w:r>
              <w:rPr>
                <w:rFonts w:hint="eastAsia" w:eastAsia="仿宋" w:cs="Times New Roman"/>
                <w:sz w:val="24"/>
                <w:szCs w:val="24"/>
                <w:lang w:val="en-US" w:eastAsia="zh-CN"/>
              </w:rPr>
              <w:t>、</w:t>
            </w:r>
            <w:r>
              <w:rPr>
                <w:rFonts w:hint="default" w:ascii="Times New Roman" w:hAnsi="Times New Roman" w:eastAsia="仿宋" w:cs="Times New Roman"/>
                <w:b/>
                <w:bCs/>
                <w:sz w:val="24"/>
                <w:szCs w:val="24"/>
                <w:lang w:val="en-US" w:eastAsia="zh-CN"/>
              </w:rPr>
              <w:t>刘斌</w:t>
            </w:r>
            <w:r>
              <w:rPr>
                <w:rFonts w:hint="default" w:ascii="Times New Roman" w:hAnsi="Times New Roman" w:eastAsia="仿宋" w:cs="Times New Roman"/>
                <w:sz w:val="24"/>
                <w:szCs w:val="24"/>
                <w:lang w:val="en-US" w:eastAsia="zh-CN"/>
              </w:rPr>
              <w:t>等</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一种双(二叔丁基-4-二甲氨基苯基膦)氯化钯的制备方</w:t>
            </w:r>
            <w:r>
              <w:rPr>
                <w:rFonts w:hint="eastAsia" w:eastAsia="仿宋" w:cs="Times New Roman"/>
                <w:sz w:val="24"/>
                <w:szCs w:val="24"/>
                <w:lang w:val="en-US" w:eastAsia="zh-CN"/>
              </w:rPr>
              <w:t xml:space="preserve">法, </w:t>
            </w:r>
            <w:r>
              <w:rPr>
                <w:rFonts w:hint="default" w:ascii="Times New Roman" w:hAnsi="Times New Roman" w:eastAsia="仿宋" w:cs="Times New Roman"/>
                <w:sz w:val="24"/>
                <w:szCs w:val="24"/>
                <w:lang w:val="en-US" w:eastAsia="zh-CN"/>
              </w:rPr>
              <w:t>中国</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专利</w:t>
            </w:r>
            <w:r>
              <w:rPr>
                <w:rFonts w:hint="eastAsia" w:eastAsia="仿宋" w:cs="Times New Roman"/>
                <w:sz w:val="24"/>
                <w:szCs w:val="24"/>
                <w:lang w:val="en-US" w:eastAsia="zh-CN"/>
              </w:rPr>
              <w:t xml:space="preserve">号:  </w:t>
            </w:r>
            <w:r>
              <w:rPr>
                <w:rFonts w:hint="default" w:ascii="Times New Roman" w:hAnsi="Times New Roman" w:eastAsia="仿宋" w:cs="Times New Roman"/>
                <w:sz w:val="24"/>
                <w:szCs w:val="24"/>
                <w:lang w:val="en-US" w:eastAsia="zh-CN"/>
              </w:rPr>
              <w:t>ZL202210506060.5</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501ECC92">
            <w:pPr>
              <w:numPr>
                <w:ilvl w:val="0"/>
                <w:numId w:val="1"/>
              </w:numPr>
              <w:spacing w:line="440" w:lineRule="exact"/>
              <w:rPr>
                <w:rFonts w:hint="default" w:ascii="Times New Roman" w:hAnsi="Times New Roman" w:eastAsia="仿宋" w:cs="Times New Roman"/>
                <w:b/>
                <w:bCs/>
                <w:sz w:val="24"/>
                <w:szCs w:val="22"/>
                <w:lang w:val="en-US" w:eastAsia="zh-CN"/>
              </w:rPr>
            </w:pPr>
            <w:r>
              <w:rPr>
                <w:rFonts w:hint="default" w:ascii="Times New Roman" w:hAnsi="Times New Roman" w:eastAsia="仿宋" w:cs="Times New Roman"/>
                <w:b/>
                <w:bCs/>
                <w:sz w:val="24"/>
                <w:szCs w:val="22"/>
                <w:lang w:val="en-US" w:eastAsia="zh-CN"/>
              </w:rPr>
              <w:t>代表性</w:t>
            </w:r>
            <w:r>
              <w:rPr>
                <w:rFonts w:hint="eastAsia" w:eastAsia="仿宋" w:cs="Times New Roman"/>
                <w:b/>
                <w:bCs/>
                <w:sz w:val="24"/>
                <w:szCs w:val="22"/>
                <w:lang w:val="en-US" w:eastAsia="zh-CN"/>
              </w:rPr>
              <w:t>论文（专著）</w:t>
            </w:r>
          </w:p>
          <w:p w14:paraId="3AECB6AA">
            <w:pPr>
              <w:numPr>
                <w:ilvl w:val="0"/>
                <w:numId w:val="3"/>
              </w:numPr>
              <w:spacing w:line="440" w:lineRule="exact"/>
              <w:ind w:left="425" w:leftChars="0" w:hanging="425" w:firstLineChars="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color w:val="000000" w:themeColor="text1"/>
                <w:szCs w:val="21"/>
                <w:lang w:val="en-US" w:eastAsia="zh-CN"/>
                <w14:textFill>
                  <w14:solidFill>
                    <w14:schemeClr w14:val="tx1"/>
                  </w14:solidFill>
                </w14:textFill>
              </w:rPr>
              <w:t xml:space="preserve">Anting Ding, </w:t>
            </w:r>
            <w:r>
              <w:rPr>
                <w:rFonts w:hint="default" w:ascii="Times New Roman" w:hAnsi="Times New Roman" w:eastAsia="仿宋" w:cs="Times New Roman"/>
                <w:b/>
                <w:bCs/>
                <w:color w:val="000000" w:themeColor="text1"/>
                <w:szCs w:val="21"/>
                <w:lang w:val="en-US" w:eastAsia="zh-CN"/>
                <w14:textFill>
                  <w14:solidFill>
                    <w14:schemeClr w14:val="tx1"/>
                  </w14:solidFill>
                </w14:textFill>
              </w:rPr>
              <w:t>Ming Li</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（李铭）</w:t>
            </w:r>
            <w:r>
              <w:rPr>
                <w:rFonts w:hint="default" w:ascii="Times New Roman" w:hAnsi="Times New Roman" w:eastAsia="仿宋" w:cs="Times New Roman"/>
                <w:color w:val="000000" w:themeColor="text1"/>
                <w:szCs w:val="21"/>
                <w:lang w:val="en-US" w:eastAsia="zh-CN"/>
                <w14:textFill>
                  <w14:solidFill>
                    <w14:schemeClr w14:val="tx1"/>
                  </w14:solidFill>
                </w14:textFill>
              </w:rPr>
              <w:t xml:space="preserve">, Chuanying Liu, Tien-Shee Chee, Qibin Yan, Lecheng Lei, </w:t>
            </w:r>
            <w:r>
              <w:rPr>
                <w:rFonts w:hint="default" w:ascii="Times New Roman" w:hAnsi="Times New Roman" w:eastAsia="仿宋" w:cs="Times New Roman"/>
                <w:b/>
                <w:bCs/>
                <w:color w:val="000000" w:themeColor="text1"/>
                <w:szCs w:val="21"/>
                <w:lang w:val="en-US" w:eastAsia="zh-CN"/>
                <w14:textFill>
                  <w14:solidFill>
                    <w14:schemeClr w14:val="tx1"/>
                  </w14:solidFill>
                </w14:textFill>
              </w:rPr>
              <w:t>Chengliang Xiao</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w:t>
            </w:r>
            <w:r>
              <w:rPr>
                <w:rFonts w:hint="eastAsia" w:eastAsia="仿宋" w:cs="Times New Roman"/>
                <w:b/>
                <w:bCs/>
                <w:color w:val="000000" w:themeColor="text1"/>
                <w:sz w:val="24"/>
                <w:szCs w:val="24"/>
                <w:lang w:val="en-US" w:eastAsia="zh-CN"/>
                <w14:textFill>
                  <w14:solidFill>
                    <w14:schemeClr w14:val="tx1"/>
                  </w14:solidFill>
                </w14:textFill>
              </w:rPr>
              <w:t>肖成梁</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Cs w:val="21"/>
                <w:lang w:val="en-US" w:eastAsia="zh-CN"/>
                <w14:textFill>
                  <w14:solidFill>
                    <w14:schemeClr w14:val="tx1"/>
                  </w14:solidFill>
                </w14:textFill>
              </w:rPr>
              <w:t>. Recovering palladium and gold by peroxydisulfate-based advanced oxidation process. Science Advances, 2024, 10: 1-14.</w:t>
            </w:r>
          </w:p>
          <w:p w14:paraId="71EC27F6">
            <w:pPr>
              <w:numPr>
                <w:ilvl w:val="0"/>
                <w:numId w:val="3"/>
              </w:numPr>
              <w:spacing w:line="440" w:lineRule="exact"/>
              <w:ind w:left="425" w:leftChars="0" w:hanging="425" w:firstLineChars="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b/>
                <w:bCs/>
                <w:color w:val="000000" w:themeColor="text1"/>
                <w:szCs w:val="21"/>
                <w:lang w:val="en-US" w:eastAsia="zh-CN"/>
                <w14:textFill>
                  <w14:solidFill>
                    <w14:schemeClr w14:val="tx1"/>
                  </w14:solidFill>
                </w14:textFill>
              </w:rPr>
              <w:t>Binqi Rao</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w:t>
            </w:r>
            <w:r>
              <w:rPr>
                <w:rFonts w:hint="eastAsia" w:eastAsia="仿宋" w:cs="Times New Roman"/>
                <w:b/>
                <w:bCs/>
                <w:color w:val="000000" w:themeColor="text1"/>
                <w:sz w:val="24"/>
                <w:szCs w:val="24"/>
                <w:lang w:val="en-US" w:eastAsia="zh-CN"/>
                <w14:textFill>
                  <w14:solidFill>
                    <w14:schemeClr w14:val="tx1"/>
                  </w14:solidFill>
                </w14:textFill>
              </w:rPr>
              <w:t>饶宾期</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Cs w:val="21"/>
                <w:lang w:val="en-US" w:eastAsia="zh-CN"/>
                <w14:textFill>
                  <w14:solidFill>
                    <w14:schemeClr w14:val="tx1"/>
                  </w14:solidFill>
                </w14:textFill>
              </w:rPr>
              <w:t>, Xiaoyu Su, Xilong Lu, Yanjian Wan, Genqing Huang, Yan Zhang, Peng Xu, Shuxia Qiu, Jicheng Zhang. Ultrahigh pressure filtration dewatering of municipal sludge based on microwave pretreatment. Journal of Environmental Management, 2019, 247: 588-595.</w:t>
            </w:r>
          </w:p>
        </w:tc>
      </w:tr>
      <w:tr w14:paraId="17C7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560" w:type="dxa"/>
            <w:tcBorders>
              <w:right w:val="single" w:color="auto" w:sz="4" w:space="0"/>
            </w:tcBorders>
            <w:vAlign w:val="center"/>
          </w:tcPr>
          <w:p w14:paraId="4DA45808">
            <w:pPr>
              <w:spacing w:line="440" w:lineRule="exact"/>
              <w:jc w:val="center"/>
              <w:rPr>
                <w:rFonts w:hint="default" w:ascii="Times New Roman" w:hAnsi="Times New Roman" w:eastAsia="仿宋_GB2312" w:cs="Times New Roman"/>
                <w:b/>
                <w:color w:val="000000" w:themeColor="text1"/>
                <w:sz w:val="28"/>
                <w:szCs w:val="24"/>
                <w14:textFill>
                  <w14:solidFill>
                    <w14:schemeClr w14:val="tx1"/>
                  </w14:solidFill>
                </w14:textFill>
              </w:rPr>
            </w:pPr>
            <w:r>
              <w:rPr>
                <w:rFonts w:hint="default" w:ascii="Times New Roman" w:hAnsi="Times New Roman" w:eastAsia="仿宋_GB2312" w:cs="Times New Roman"/>
                <w:b/>
                <w:color w:val="000000" w:themeColor="text1"/>
                <w:sz w:val="28"/>
                <w:szCs w:val="24"/>
                <w14:textFill>
                  <w14:solidFill>
                    <w14:schemeClr w14:val="tx1"/>
                  </w14:solidFill>
                </w14:textFill>
              </w:rPr>
              <w:t>主要完成人</w:t>
            </w:r>
          </w:p>
        </w:tc>
        <w:tc>
          <w:tcPr>
            <w:tcW w:w="7116" w:type="dxa"/>
            <w:tcBorders>
              <w:left w:val="single" w:color="auto" w:sz="4" w:space="0"/>
            </w:tcBorders>
            <w:vAlign w:val="center"/>
          </w:tcPr>
          <w:p w14:paraId="344DE294">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曹海宙</w:t>
            </w:r>
            <w:r>
              <w:rPr>
                <w:rFonts w:hint="default" w:ascii="Times New Roman" w:hAnsi="Times New Roman" w:eastAsia="仿宋" w:cs="Times New Roman"/>
                <w:sz w:val="24"/>
                <w:szCs w:val="24"/>
              </w:rPr>
              <w:t>，排名1，</w:t>
            </w:r>
            <w:r>
              <w:rPr>
                <w:rFonts w:hint="default" w:ascii="Times New Roman" w:hAnsi="Times New Roman" w:eastAsia="仿宋" w:cs="Times New Roman"/>
                <w:sz w:val="24"/>
                <w:szCs w:val="24"/>
                <w:lang w:val="en-US" w:eastAsia="zh-CN"/>
              </w:rPr>
              <w:t>高级工程师</w:t>
            </w:r>
            <w:r>
              <w:rPr>
                <w:rFonts w:hint="default" w:ascii="Times New Roman" w:hAnsi="Times New Roman" w:eastAsia="仿宋" w:cs="Times New Roman"/>
                <w:sz w:val="24"/>
                <w:szCs w:val="24"/>
              </w:rPr>
              <w:t>，浙江遂昌汇金有色金属有限公司</w:t>
            </w:r>
          </w:p>
          <w:p w14:paraId="468D3430">
            <w:pPr>
              <w:spacing w:line="440" w:lineRule="exac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饶宾期</w:t>
            </w:r>
            <w:r>
              <w:rPr>
                <w:rFonts w:hint="default" w:ascii="Times New Roman" w:hAnsi="Times New Roman" w:eastAsia="仿宋" w:cs="Times New Roman"/>
                <w:sz w:val="24"/>
                <w:szCs w:val="24"/>
              </w:rPr>
              <w:t>，排名2，正高级工程师，中国计量大学</w:t>
            </w:r>
          </w:p>
          <w:p w14:paraId="7F6E8655">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肖成梁</w:t>
            </w:r>
            <w:r>
              <w:rPr>
                <w:rFonts w:hint="default" w:ascii="Times New Roman" w:hAnsi="Times New Roman" w:eastAsia="仿宋" w:cs="Times New Roman"/>
                <w:sz w:val="24"/>
                <w:szCs w:val="24"/>
              </w:rPr>
              <w:t>，排名3，</w:t>
            </w:r>
            <w:r>
              <w:rPr>
                <w:rFonts w:hint="default" w:ascii="Times New Roman" w:hAnsi="Times New Roman" w:eastAsia="仿宋" w:cs="Times New Roman"/>
                <w:sz w:val="24"/>
                <w:szCs w:val="24"/>
                <w:lang w:val="en-US" w:eastAsia="zh-CN"/>
              </w:rPr>
              <w:t>研究员</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浙江大学</w:t>
            </w:r>
          </w:p>
          <w:p w14:paraId="6572407D">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周立钢</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eastAsia="仿宋" w:cs="Times New Roman"/>
                <w:sz w:val="24"/>
                <w:szCs w:val="24"/>
              </w:rPr>
              <w:t>排名4</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工程师，浙江隆源装备科技股份有限公司</w:t>
            </w:r>
          </w:p>
          <w:p w14:paraId="77DD09C0">
            <w:pPr>
              <w:spacing w:line="440" w:lineRule="exac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朱有法</w:t>
            </w:r>
            <w:r>
              <w:rPr>
                <w:rFonts w:hint="default" w:ascii="Times New Roman" w:hAnsi="Times New Roman" w:eastAsia="仿宋" w:cs="Times New Roman"/>
                <w:sz w:val="24"/>
                <w:szCs w:val="24"/>
              </w:rPr>
              <w:t>，排名5，</w:t>
            </w:r>
            <w:r>
              <w:rPr>
                <w:rFonts w:hint="default" w:ascii="Times New Roman" w:hAnsi="Times New Roman" w:eastAsia="仿宋" w:cs="Times New Roman"/>
                <w:sz w:val="24"/>
                <w:szCs w:val="24"/>
                <w:lang w:val="en-US" w:eastAsia="zh-CN"/>
              </w:rPr>
              <w:t>高级工程师</w:t>
            </w:r>
            <w:r>
              <w:rPr>
                <w:rFonts w:hint="default" w:ascii="Times New Roman" w:hAnsi="Times New Roman" w:eastAsia="仿宋" w:cs="Times New Roman"/>
                <w:sz w:val="24"/>
                <w:szCs w:val="24"/>
              </w:rPr>
              <w:t>，浙江诺曼环保工程技术有限公司</w:t>
            </w:r>
          </w:p>
          <w:p w14:paraId="75CC1584">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刘</w:t>
            </w:r>
            <w:r>
              <w:rPr>
                <w:rFonts w:hint="eastAsia"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斌</w:t>
            </w:r>
            <w:r>
              <w:rPr>
                <w:rFonts w:hint="default" w:ascii="Times New Roman" w:hAnsi="Times New Roman" w:eastAsia="仿宋" w:cs="Times New Roman"/>
                <w:sz w:val="24"/>
                <w:szCs w:val="24"/>
              </w:rPr>
              <w:t>，排名6，</w:t>
            </w:r>
            <w:r>
              <w:rPr>
                <w:rFonts w:hint="default" w:ascii="Times New Roman" w:hAnsi="Times New Roman" w:eastAsia="仿宋" w:cs="Times New Roman"/>
                <w:sz w:val="24"/>
                <w:szCs w:val="24"/>
                <w:lang w:val="en-US" w:eastAsia="zh-CN"/>
              </w:rPr>
              <w:t>高级工程师</w:t>
            </w:r>
            <w:r>
              <w:rPr>
                <w:rFonts w:hint="default" w:ascii="Times New Roman" w:hAnsi="Times New Roman" w:eastAsia="仿宋" w:cs="Times New Roman"/>
                <w:sz w:val="24"/>
                <w:szCs w:val="24"/>
              </w:rPr>
              <w:t>，浙江微通催化新材料有限公司总工程师</w:t>
            </w:r>
          </w:p>
          <w:p w14:paraId="0C09047E">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周</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品</w:t>
            </w:r>
            <w:r>
              <w:rPr>
                <w:rFonts w:hint="default" w:ascii="Times New Roman" w:hAnsi="Times New Roman" w:eastAsia="仿宋" w:cs="Times New Roman"/>
                <w:sz w:val="24"/>
                <w:szCs w:val="24"/>
              </w:rPr>
              <w:t>，排名7，</w:t>
            </w:r>
            <w:r>
              <w:rPr>
                <w:rFonts w:hint="default" w:ascii="Times New Roman" w:hAnsi="Times New Roman" w:eastAsia="仿宋" w:cs="Times New Roman"/>
                <w:sz w:val="24"/>
                <w:szCs w:val="24"/>
                <w:lang w:val="en-US" w:eastAsia="zh-CN"/>
              </w:rPr>
              <w:t>副教授</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常州工学院</w:t>
            </w:r>
          </w:p>
          <w:p w14:paraId="45E461C7">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钟海</w:t>
            </w:r>
            <w:r>
              <w:rPr>
                <w:rFonts w:hint="eastAsia" w:eastAsia="仿宋" w:cs="Times New Roman"/>
                <w:sz w:val="24"/>
                <w:szCs w:val="24"/>
                <w:lang w:val="en-US" w:eastAsia="zh-CN"/>
              </w:rPr>
              <w:t>锋</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排名8，</w:t>
            </w:r>
            <w:r>
              <w:rPr>
                <w:rFonts w:hint="default" w:ascii="Times New Roman" w:hAnsi="Times New Roman" w:eastAsia="仿宋" w:cs="Times New Roman"/>
                <w:sz w:val="24"/>
                <w:szCs w:val="24"/>
                <w:lang w:val="en-US" w:eastAsia="zh-CN"/>
              </w:rPr>
              <w:t>高级</w:t>
            </w:r>
            <w:r>
              <w:rPr>
                <w:rFonts w:hint="default" w:ascii="Times New Roman" w:hAnsi="Times New Roman" w:eastAsia="仿宋" w:cs="Times New Roman"/>
                <w:sz w:val="24"/>
                <w:szCs w:val="24"/>
              </w:rPr>
              <w:t>工程师，浙江亚通新材料股份有限公司</w:t>
            </w:r>
          </w:p>
          <w:p w14:paraId="4245D4AC">
            <w:pPr>
              <w:spacing w:line="440" w:lineRule="exac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李</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铭</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9</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研究员</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浙江大学</w:t>
            </w:r>
          </w:p>
          <w:p w14:paraId="5555F732">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吴玉龙</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10</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研究员</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清华大学</w:t>
            </w:r>
          </w:p>
          <w:p w14:paraId="3CD6CB31">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林乐峰</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11</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工程师</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浙江遂昌汇金有色金属有限公司</w:t>
            </w:r>
          </w:p>
          <w:p w14:paraId="3EAF19BE">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周</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芳</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12</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讲师</w:t>
            </w:r>
            <w:r>
              <w:rPr>
                <w:rFonts w:hint="default" w:ascii="Times New Roman" w:hAnsi="Times New Roman" w:eastAsia="仿宋" w:cs="Times New Roman"/>
                <w:sz w:val="24"/>
                <w:szCs w:val="24"/>
              </w:rPr>
              <w:t>，中国计量大学</w:t>
            </w:r>
          </w:p>
          <w:p w14:paraId="4629222E">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金治河</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13</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工程师</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浙江遂昌汇金有色金属有限公司</w:t>
            </w:r>
          </w:p>
        </w:tc>
      </w:tr>
      <w:tr w14:paraId="3F81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560" w:type="dxa"/>
            <w:tcBorders>
              <w:right w:val="single" w:color="auto" w:sz="4" w:space="0"/>
            </w:tcBorders>
            <w:vAlign w:val="center"/>
          </w:tcPr>
          <w:p w14:paraId="1FB6B26B">
            <w:pPr>
              <w:spacing w:line="4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8"/>
                <w:szCs w:val="24"/>
                <w14:textFill>
                  <w14:solidFill>
                    <w14:schemeClr w14:val="tx1"/>
                  </w14:solidFill>
                </w14:textFill>
              </w:rPr>
              <w:t>主要完成单位</w:t>
            </w:r>
          </w:p>
        </w:tc>
        <w:tc>
          <w:tcPr>
            <w:tcW w:w="7116" w:type="dxa"/>
            <w:tcBorders>
              <w:left w:val="single" w:color="auto" w:sz="4" w:space="0"/>
            </w:tcBorders>
            <w:vAlign w:val="center"/>
          </w:tcPr>
          <w:p w14:paraId="3162A27D">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rPr>
              <w:t>1.</w:t>
            </w:r>
            <w:r>
              <w:rPr>
                <w:rFonts w:hint="default" w:ascii="Times New Roman" w:hAnsi="Times New Roman" w:eastAsia="仿宋" w:cs="Times New Roman"/>
                <w:sz w:val="24"/>
                <w:szCs w:val="24"/>
              </w:rPr>
              <w:t>浙江遂昌汇金有色金属有限公司</w:t>
            </w:r>
          </w:p>
          <w:p w14:paraId="70E10426">
            <w:pPr>
              <w:spacing w:line="440" w:lineRule="exact"/>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2.浙江大学</w:t>
            </w:r>
          </w:p>
          <w:p w14:paraId="2233B7CF">
            <w:pPr>
              <w:spacing w:line="440" w:lineRule="exact"/>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3.浙江微通催化新材料有限公司</w:t>
            </w:r>
          </w:p>
          <w:p w14:paraId="45580719">
            <w:pPr>
              <w:spacing w:line="440" w:lineRule="exact"/>
              <w:rPr>
                <w:rFonts w:hint="default" w:ascii="Times New Roman" w:hAnsi="Times New Roman" w:eastAsia="仿宋" w:cs="Times New Roman"/>
                <w:sz w:val="24"/>
                <w:szCs w:val="22"/>
              </w:rPr>
            </w:pPr>
            <w:r>
              <w:rPr>
                <w:rFonts w:hint="default" w:ascii="Times New Roman" w:hAnsi="Times New Roman" w:eastAsia="仿宋" w:cs="Times New Roman"/>
                <w:sz w:val="24"/>
                <w:szCs w:val="22"/>
              </w:rPr>
              <w:t>4.浙江诺曼环保工程技术有限公司</w:t>
            </w:r>
          </w:p>
          <w:p w14:paraId="251793D5">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rPr>
              <w:t>5.中国计量大学</w:t>
            </w:r>
          </w:p>
          <w:p w14:paraId="7DE03ED8">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lang w:val="en-US" w:eastAsia="zh-CN"/>
              </w:rPr>
              <w:t>6</w:t>
            </w:r>
            <w:r>
              <w:rPr>
                <w:rFonts w:hint="default" w:ascii="Times New Roman" w:hAnsi="Times New Roman" w:eastAsia="仿宋" w:cs="Times New Roman"/>
                <w:sz w:val="24"/>
                <w:szCs w:val="22"/>
              </w:rPr>
              <w:t>.浙江隆源装备科技股份有限公司</w:t>
            </w:r>
          </w:p>
          <w:p w14:paraId="3A637A22">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lang w:val="en-US" w:eastAsia="zh-CN"/>
              </w:rPr>
              <w:t>7</w:t>
            </w:r>
            <w:r>
              <w:rPr>
                <w:rFonts w:hint="default" w:ascii="Times New Roman" w:hAnsi="Times New Roman" w:eastAsia="仿宋" w:cs="Times New Roman"/>
                <w:sz w:val="24"/>
                <w:szCs w:val="22"/>
              </w:rPr>
              <w:t>.清华大学</w:t>
            </w:r>
          </w:p>
          <w:p w14:paraId="7C331851">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lang w:val="en-US" w:eastAsia="zh-CN"/>
              </w:rPr>
              <w:t>8</w:t>
            </w:r>
            <w:r>
              <w:rPr>
                <w:rFonts w:hint="default" w:ascii="Times New Roman" w:hAnsi="Times New Roman" w:eastAsia="仿宋" w:cs="Times New Roman"/>
                <w:sz w:val="24"/>
                <w:szCs w:val="22"/>
              </w:rPr>
              <w:t>.浙江亚通新材料股份有限公司</w:t>
            </w:r>
          </w:p>
          <w:p w14:paraId="28FF6FF4">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lang w:val="en-US" w:eastAsia="zh-CN"/>
              </w:rPr>
              <w:t>9</w:t>
            </w:r>
            <w:r>
              <w:rPr>
                <w:rFonts w:hint="default" w:ascii="Times New Roman" w:hAnsi="Times New Roman" w:eastAsia="仿宋" w:cs="Times New Roman"/>
                <w:sz w:val="24"/>
                <w:szCs w:val="22"/>
              </w:rPr>
              <w:t>.常州工学院</w:t>
            </w:r>
          </w:p>
        </w:tc>
      </w:tr>
      <w:tr w14:paraId="2927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0" w:type="dxa"/>
            <w:vAlign w:val="center"/>
          </w:tcPr>
          <w:p w14:paraId="6DAD8B4A">
            <w:pPr>
              <w:jc w:val="center"/>
              <w:rPr>
                <w:rStyle w:val="9"/>
                <w:rFonts w:hint="default" w:ascii="Times New Roman" w:hAnsi="Times New Roman" w:eastAsia="仿宋_GB2312" w:cs="Times New Roman"/>
                <w:b w:val="0"/>
                <w:color w:val="000000"/>
                <w:sz w:val="28"/>
                <w:szCs w:val="28"/>
              </w:rPr>
            </w:pPr>
            <w:r>
              <w:rPr>
                <w:rStyle w:val="9"/>
                <w:rFonts w:hint="default" w:ascii="Times New Roman" w:hAnsi="Times New Roman" w:eastAsia="仿宋_GB2312" w:cs="Times New Roman"/>
                <w:color w:val="000000"/>
                <w:sz w:val="28"/>
                <w:szCs w:val="28"/>
              </w:rPr>
              <w:t>提名单位</w:t>
            </w:r>
          </w:p>
        </w:tc>
        <w:tc>
          <w:tcPr>
            <w:tcW w:w="7116" w:type="dxa"/>
            <w:vAlign w:val="center"/>
          </w:tcPr>
          <w:p w14:paraId="22FD9EE6">
            <w:pPr>
              <w:contextualSpacing/>
              <w:jc w:val="center"/>
              <w:rPr>
                <w:rStyle w:val="9"/>
                <w:rFonts w:hint="default" w:ascii="Times New Roman" w:hAnsi="Times New Roman" w:eastAsia="仿宋_GB2312" w:cs="Times New Roman"/>
                <w:b w:val="0"/>
                <w:color w:val="000000"/>
                <w:lang w:eastAsia="zh-CN"/>
              </w:rPr>
            </w:pPr>
            <w:r>
              <w:rPr>
                <w:rFonts w:hint="default" w:ascii="Times New Roman" w:hAnsi="Times New Roman" w:eastAsia="仿宋_GB2312" w:cs="Times New Roman"/>
                <w:sz w:val="24"/>
                <w:szCs w:val="24"/>
              </w:rPr>
              <w:t>遂昌县</w:t>
            </w:r>
            <w:r>
              <w:rPr>
                <w:rFonts w:hint="default" w:ascii="Times New Roman" w:hAnsi="Times New Roman" w:eastAsia="仿宋_GB2312" w:cs="Times New Roman"/>
                <w:sz w:val="24"/>
                <w:szCs w:val="24"/>
                <w:lang w:val="en-US" w:eastAsia="zh-CN"/>
              </w:rPr>
              <w:t>人民政府</w:t>
            </w:r>
          </w:p>
        </w:tc>
      </w:tr>
      <w:tr w14:paraId="64AB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6" w:hRule="atLeast"/>
        </w:trPr>
        <w:tc>
          <w:tcPr>
            <w:tcW w:w="1560" w:type="dxa"/>
            <w:vAlign w:val="center"/>
          </w:tcPr>
          <w:p w14:paraId="465B727F">
            <w:pPr>
              <w:jc w:val="center"/>
              <w:rPr>
                <w:rStyle w:val="9"/>
                <w:rFonts w:hint="default" w:ascii="Times New Roman" w:hAnsi="Times New Roman" w:eastAsia="仿宋_GB2312" w:cs="Times New Roman"/>
                <w:b w:val="0"/>
                <w:color w:val="000000"/>
                <w:sz w:val="28"/>
                <w:szCs w:val="28"/>
              </w:rPr>
            </w:pPr>
            <w:r>
              <w:rPr>
                <w:rStyle w:val="9"/>
                <w:rFonts w:hint="default" w:ascii="Times New Roman" w:hAnsi="Times New Roman" w:eastAsia="仿宋_GB2312" w:cs="Times New Roman"/>
                <w:color w:val="000000"/>
                <w:sz w:val="28"/>
                <w:szCs w:val="28"/>
              </w:rPr>
              <w:t>提名意见</w:t>
            </w:r>
          </w:p>
        </w:tc>
        <w:tc>
          <w:tcPr>
            <w:tcW w:w="7116" w:type="dxa"/>
            <w:vAlign w:val="center"/>
          </w:tcPr>
          <w:p w14:paraId="710DADA1">
            <w:pPr>
              <w:pStyle w:val="15"/>
              <w:spacing w:line="400" w:lineRule="exact"/>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战略金属是国民经济与国防军工的重要支撑材料，我国超低品位战略金属固废产量巨大，综合利用率</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低</w:t>
            </w:r>
            <w:r>
              <w:rPr>
                <w:rFonts w:hint="default" w:ascii="Times New Roman" w:hAnsi="Times New Roman" w:eastAsia="仿宋_GB2312" w:cs="Times New Roman"/>
                <w:color w:val="000000" w:themeColor="text1"/>
                <w:sz w:val="24"/>
                <w:szCs w:val="24"/>
                <w14:textFill>
                  <w14:solidFill>
                    <w14:schemeClr w14:val="tx1"/>
                  </w14:solidFill>
                </w14:textFill>
              </w:rPr>
              <w:t>，造成严重环境污染及资源浪费，亟需开展绿色高效处理与高质资源化利用。成果针对超低品位战略金属固废“脱水干化效果差、多金属深度分离难、高质资源化利用难”等重大行业共性难题，在国家重点研发项目等支持下，历经十余年协同攻关，形成了以下主要创新点：（1）研发了仿生动态超高压脱水技术及装备，泥饼含水率降至25-30%，单批次滤饼量高达30吨，设备获浙江制造“品字标”；研发了废热驱动闭环式污泥智能干化技术及智能装备，能耗节省30%以上。（2）提出了多场耦合熔炼富集与电解提质新方法，实现了超低品位战略金属高效富集与深度提纯，铜银纯度≥99.99%、氧含量&lt;3ppm，成果入选工信部《国家工业资源综合利用先进适用工艺技术设备目录》；（3）发明了高纯铜银基高端软钎料真空连铸-精准涂覆制备技术和贵金属催化剂“绿色浸出-原位合成”一体化制备技术，产品关键性能超进口产品，应用于军工、生物医药等重点领域，实现了固废高质资源化。</w:t>
            </w:r>
          </w:p>
          <w:p w14:paraId="24E7D086">
            <w:pPr>
              <w:pStyle w:val="15"/>
              <w:spacing w:line="400" w:lineRule="exact"/>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构建了超低品位战略金属固废向高附加值产品转化的短流程技术体系，建立了百万吨级战略金属固废绿色高效低碳处理处置产业化工程，经济社会效益显著，对推动无废城市建设和关键材料国产化具有重要意义。</w:t>
            </w:r>
          </w:p>
          <w:p w14:paraId="0D319726">
            <w:pPr>
              <w:pStyle w:val="15"/>
              <w:spacing w:line="400" w:lineRule="exact"/>
              <w:ind w:firstLine="480"/>
              <w:rPr>
                <w:rFonts w:hint="default" w:ascii="Times New Roman" w:hAnsi="Times New Roman" w:eastAsia="仿宋_GB2312" w:cs="Times New Roman"/>
                <w:color w:val="000000" w:themeColor="text1"/>
                <w:sz w:val="24"/>
                <w:szCs w:val="24"/>
                <w14:textFill>
                  <w14:solidFill>
                    <w14:schemeClr w14:val="tx1"/>
                  </w14:solidFill>
                </w14:textFill>
              </w:rPr>
            </w:pPr>
          </w:p>
          <w:p w14:paraId="1C5F7B1D">
            <w:pPr>
              <w:pStyle w:val="15"/>
              <w:spacing w:line="400" w:lineRule="exact"/>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提名该成果为省科学技术进步奖一等奖。</w:t>
            </w:r>
          </w:p>
          <w:p w14:paraId="5905F4F3">
            <w:pPr>
              <w:pStyle w:val="15"/>
              <w:spacing w:line="400" w:lineRule="exact"/>
              <w:rPr>
                <w:rStyle w:val="9"/>
                <w:rFonts w:hint="default" w:ascii="Times New Roman" w:hAnsi="Times New Roman" w:eastAsia="仿宋_GB2312" w:cs="Times New Roman"/>
                <w:b w:val="0"/>
                <w:bCs/>
                <w:color w:val="000000" w:themeColor="text1"/>
                <w14:textFill>
                  <w14:solidFill>
                    <w14:schemeClr w14:val="tx1"/>
                  </w14:solidFill>
                </w14:textFill>
              </w:rPr>
            </w:pPr>
          </w:p>
        </w:tc>
      </w:tr>
    </w:tbl>
    <w:p w14:paraId="2CD7C801">
      <w:pPr>
        <w:spacing w:line="500" w:lineRule="exact"/>
        <w:rPr>
          <w:rFonts w:eastAsia="仿宋_GB2312"/>
          <w:bCs/>
          <w:sz w:val="24"/>
          <w:szCs w:val="24"/>
        </w:rPr>
      </w:pPr>
    </w:p>
    <w:sectPr>
      <w:pgSz w:w="11906" w:h="16838"/>
      <w:pgMar w:top="1440" w:right="1276"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1" w:fontKey="{904788C4-7659-404D-80DA-0B9D42AC583F}"/>
  </w:font>
  <w:font w:name="方正小标宋简体">
    <w:panose1 w:val="03000509000000000000"/>
    <w:charset w:val="86"/>
    <w:family w:val="script"/>
    <w:pitch w:val="default"/>
    <w:sig w:usb0="00000001" w:usb1="080E0000" w:usb2="00000000" w:usb3="00000000" w:csb0="00040000" w:csb1="00000000"/>
    <w:embedRegular r:id="rId2" w:fontKey="{0B21B619-B72F-4631-8B4A-4F3C3225D5BB}"/>
  </w:font>
  <w:font w:name="仿宋_GB2312">
    <w:panose1 w:val="02010609030101010101"/>
    <w:charset w:val="86"/>
    <w:family w:val="modern"/>
    <w:pitch w:val="default"/>
    <w:sig w:usb0="00000001" w:usb1="080E0000" w:usb2="00000000" w:usb3="00000000" w:csb0="00040000" w:csb1="00000000"/>
    <w:embedRegular r:id="rId3" w:fontKey="{7A9925E5-304C-45FA-972A-CD6F2B5E1072}"/>
  </w:font>
  <w:font w:name="仿宋">
    <w:panose1 w:val="02010609060101010101"/>
    <w:charset w:val="86"/>
    <w:family w:val="modern"/>
    <w:pitch w:val="default"/>
    <w:sig w:usb0="800002BF" w:usb1="38CF7CFA" w:usb2="00000016" w:usb3="00000000" w:csb0="00040001" w:csb1="00000000"/>
    <w:embedRegular r:id="rId4" w:fontKey="{958E8BF2-9811-4872-B31F-C9AC6C56CB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DDD1F"/>
    <w:multiLevelType w:val="singleLevel"/>
    <w:tmpl w:val="526DDD1F"/>
    <w:lvl w:ilvl="0" w:tentative="0">
      <w:start w:val="1"/>
      <w:numFmt w:val="decimal"/>
      <w:suff w:val="space"/>
      <w:lvlText w:val="%1."/>
      <w:lvlJc w:val="left"/>
    </w:lvl>
  </w:abstractNum>
  <w:abstractNum w:abstractNumId="1">
    <w:nsid w:val="5FFF4035"/>
    <w:multiLevelType w:val="singleLevel"/>
    <w:tmpl w:val="5FFF4035"/>
    <w:lvl w:ilvl="0" w:tentative="0">
      <w:start w:val="1"/>
      <w:numFmt w:val="decimal"/>
      <w:lvlText w:val="[%1]"/>
      <w:lvlJc w:val="left"/>
      <w:pPr>
        <w:tabs>
          <w:tab w:val="left" w:pos="420"/>
        </w:tabs>
        <w:ind w:left="425" w:leftChars="0" w:hanging="425" w:firstLineChars="0"/>
      </w:pPr>
      <w:rPr>
        <w:rFonts w:hint="default"/>
      </w:rPr>
    </w:lvl>
  </w:abstractNum>
  <w:abstractNum w:abstractNumId="2">
    <w:nsid w:val="7D8F3928"/>
    <w:multiLevelType w:val="singleLevel"/>
    <w:tmpl w:val="7D8F3928"/>
    <w:lvl w:ilvl="0" w:tentative="0">
      <w:start w:val="9"/>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5ZWE2ZTA4YTkxZDlhZDI1MWI2ZmNiYzIzY2JlMWUifQ=="/>
  </w:docVars>
  <w:rsids>
    <w:rsidRoot w:val="0082117E"/>
    <w:rsid w:val="00013442"/>
    <w:rsid w:val="0003057D"/>
    <w:rsid w:val="000F2E7B"/>
    <w:rsid w:val="00115503"/>
    <w:rsid w:val="00130367"/>
    <w:rsid w:val="001355A9"/>
    <w:rsid w:val="00136193"/>
    <w:rsid w:val="00154830"/>
    <w:rsid w:val="00163BAE"/>
    <w:rsid w:val="001722AC"/>
    <w:rsid w:val="00175631"/>
    <w:rsid w:val="001A2091"/>
    <w:rsid w:val="001B57E2"/>
    <w:rsid w:val="001D3B60"/>
    <w:rsid w:val="001E1504"/>
    <w:rsid w:val="00200B0C"/>
    <w:rsid w:val="00210109"/>
    <w:rsid w:val="00211589"/>
    <w:rsid w:val="00216AF1"/>
    <w:rsid w:val="00230375"/>
    <w:rsid w:val="002624D6"/>
    <w:rsid w:val="0026333A"/>
    <w:rsid w:val="00266D2D"/>
    <w:rsid w:val="00292789"/>
    <w:rsid w:val="002B51E9"/>
    <w:rsid w:val="002C1D69"/>
    <w:rsid w:val="0030176C"/>
    <w:rsid w:val="00316624"/>
    <w:rsid w:val="00334129"/>
    <w:rsid w:val="00352C66"/>
    <w:rsid w:val="003A2F1D"/>
    <w:rsid w:val="003B1D04"/>
    <w:rsid w:val="003B5AFE"/>
    <w:rsid w:val="003B61E9"/>
    <w:rsid w:val="003C601C"/>
    <w:rsid w:val="00434C96"/>
    <w:rsid w:val="004411C8"/>
    <w:rsid w:val="004562EA"/>
    <w:rsid w:val="00466D83"/>
    <w:rsid w:val="00471B85"/>
    <w:rsid w:val="004A1116"/>
    <w:rsid w:val="004B61C0"/>
    <w:rsid w:val="004B6FF0"/>
    <w:rsid w:val="004C7DA9"/>
    <w:rsid w:val="004D2B1A"/>
    <w:rsid w:val="004E0CC1"/>
    <w:rsid w:val="004F3F00"/>
    <w:rsid w:val="004F65E4"/>
    <w:rsid w:val="0051478C"/>
    <w:rsid w:val="00515971"/>
    <w:rsid w:val="00522F50"/>
    <w:rsid w:val="00553612"/>
    <w:rsid w:val="005537A1"/>
    <w:rsid w:val="005539A6"/>
    <w:rsid w:val="0058533C"/>
    <w:rsid w:val="00590036"/>
    <w:rsid w:val="005B3E34"/>
    <w:rsid w:val="005B54F0"/>
    <w:rsid w:val="00612482"/>
    <w:rsid w:val="00643F2C"/>
    <w:rsid w:val="00644749"/>
    <w:rsid w:val="0064750B"/>
    <w:rsid w:val="006D7BAE"/>
    <w:rsid w:val="007265FE"/>
    <w:rsid w:val="00731F31"/>
    <w:rsid w:val="00742F21"/>
    <w:rsid w:val="00743265"/>
    <w:rsid w:val="00753D5A"/>
    <w:rsid w:val="00762177"/>
    <w:rsid w:val="00773751"/>
    <w:rsid w:val="00783FB8"/>
    <w:rsid w:val="00791FE5"/>
    <w:rsid w:val="00793E15"/>
    <w:rsid w:val="00794A17"/>
    <w:rsid w:val="007B34C1"/>
    <w:rsid w:val="007C4DF2"/>
    <w:rsid w:val="007C791E"/>
    <w:rsid w:val="007D39AC"/>
    <w:rsid w:val="007F2AA4"/>
    <w:rsid w:val="007F3862"/>
    <w:rsid w:val="007F62B5"/>
    <w:rsid w:val="007F6C3C"/>
    <w:rsid w:val="00812BF8"/>
    <w:rsid w:val="0082117E"/>
    <w:rsid w:val="0082224D"/>
    <w:rsid w:val="0082714D"/>
    <w:rsid w:val="00830CF6"/>
    <w:rsid w:val="00831E7D"/>
    <w:rsid w:val="00844338"/>
    <w:rsid w:val="00854895"/>
    <w:rsid w:val="00865CF8"/>
    <w:rsid w:val="00866CB2"/>
    <w:rsid w:val="00874235"/>
    <w:rsid w:val="00880A09"/>
    <w:rsid w:val="00896953"/>
    <w:rsid w:val="008D0030"/>
    <w:rsid w:val="00933D56"/>
    <w:rsid w:val="00936610"/>
    <w:rsid w:val="00942D22"/>
    <w:rsid w:val="009537C1"/>
    <w:rsid w:val="0096022D"/>
    <w:rsid w:val="009862CA"/>
    <w:rsid w:val="009A5BC7"/>
    <w:rsid w:val="009B2C57"/>
    <w:rsid w:val="009B38FE"/>
    <w:rsid w:val="009D18A8"/>
    <w:rsid w:val="00A0124B"/>
    <w:rsid w:val="00A12F72"/>
    <w:rsid w:val="00A345F1"/>
    <w:rsid w:val="00A43AFB"/>
    <w:rsid w:val="00A746C2"/>
    <w:rsid w:val="00AB1B5C"/>
    <w:rsid w:val="00AB5154"/>
    <w:rsid w:val="00AC5212"/>
    <w:rsid w:val="00AE57ED"/>
    <w:rsid w:val="00B06C21"/>
    <w:rsid w:val="00B15C12"/>
    <w:rsid w:val="00B33836"/>
    <w:rsid w:val="00B47CC3"/>
    <w:rsid w:val="00B53E50"/>
    <w:rsid w:val="00B53F33"/>
    <w:rsid w:val="00B55112"/>
    <w:rsid w:val="00B618CC"/>
    <w:rsid w:val="00B81BFC"/>
    <w:rsid w:val="00B84C63"/>
    <w:rsid w:val="00B84D83"/>
    <w:rsid w:val="00BA1CD8"/>
    <w:rsid w:val="00BC081B"/>
    <w:rsid w:val="00BD2317"/>
    <w:rsid w:val="00BE1121"/>
    <w:rsid w:val="00BF3AB8"/>
    <w:rsid w:val="00C02CE2"/>
    <w:rsid w:val="00C07781"/>
    <w:rsid w:val="00C106ED"/>
    <w:rsid w:val="00C6338E"/>
    <w:rsid w:val="00C755E5"/>
    <w:rsid w:val="00C95110"/>
    <w:rsid w:val="00CA1C35"/>
    <w:rsid w:val="00CC5138"/>
    <w:rsid w:val="00CE6BF6"/>
    <w:rsid w:val="00CF36AB"/>
    <w:rsid w:val="00D02BC7"/>
    <w:rsid w:val="00D40F2E"/>
    <w:rsid w:val="00D417C3"/>
    <w:rsid w:val="00D57031"/>
    <w:rsid w:val="00D80DB7"/>
    <w:rsid w:val="00DA339C"/>
    <w:rsid w:val="00DA4F5C"/>
    <w:rsid w:val="00DB148E"/>
    <w:rsid w:val="00DD311E"/>
    <w:rsid w:val="00DF7F56"/>
    <w:rsid w:val="00E046EB"/>
    <w:rsid w:val="00E44FD5"/>
    <w:rsid w:val="00E72413"/>
    <w:rsid w:val="00EB1A43"/>
    <w:rsid w:val="00ED2B90"/>
    <w:rsid w:val="00EF0140"/>
    <w:rsid w:val="00EF3F9B"/>
    <w:rsid w:val="00F012E1"/>
    <w:rsid w:val="00F027F1"/>
    <w:rsid w:val="00F07389"/>
    <w:rsid w:val="00F17FEC"/>
    <w:rsid w:val="00F20EF7"/>
    <w:rsid w:val="00F23586"/>
    <w:rsid w:val="00F33A8C"/>
    <w:rsid w:val="00F4275E"/>
    <w:rsid w:val="00F46A27"/>
    <w:rsid w:val="00F52305"/>
    <w:rsid w:val="00F55B91"/>
    <w:rsid w:val="00F6029C"/>
    <w:rsid w:val="00F612C2"/>
    <w:rsid w:val="00F65E6B"/>
    <w:rsid w:val="00FC7B6A"/>
    <w:rsid w:val="00FD4816"/>
    <w:rsid w:val="00FF4A49"/>
    <w:rsid w:val="00FF7C83"/>
    <w:rsid w:val="01D825F3"/>
    <w:rsid w:val="02026A9B"/>
    <w:rsid w:val="03AC5A86"/>
    <w:rsid w:val="04121C66"/>
    <w:rsid w:val="044F0706"/>
    <w:rsid w:val="04525012"/>
    <w:rsid w:val="0523406D"/>
    <w:rsid w:val="06463287"/>
    <w:rsid w:val="07392607"/>
    <w:rsid w:val="07F13FAE"/>
    <w:rsid w:val="08002443"/>
    <w:rsid w:val="08670714"/>
    <w:rsid w:val="0A6F1B02"/>
    <w:rsid w:val="0ADC748B"/>
    <w:rsid w:val="0B154457"/>
    <w:rsid w:val="0B5036E2"/>
    <w:rsid w:val="0B996E37"/>
    <w:rsid w:val="0C686809"/>
    <w:rsid w:val="0CE340E1"/>
    <w:rsid w:val="0D600335"/>
    <w:rsid w:val="0E010CC3"/>
    <w:rsid w:val="0E6344F9"/>
    <w:rsid w:val="0F317386"/>
    <w:rsid w:val="102A5AC4"/>
    <w:rsid w:val="113F024A"/>
    <w:rsid w:val="11DD252D"/>
    <w:rsid w:val="157224A6"/>
    <w:rsid w:val="16946B78"/>
    <w:rsid w:val="17A83CA3"/>
    <w:rsid w:val="17EA0A1A"/>
    <w:rsid w:val="18C64FE3"/>
    <w:rsid w:val="18D7662E"/>
    <w:rsid w:val="195C14B6"/>
    <w:rsid w:val="19BB2B38"/>
    <w:rsid w:val="1B697EA8"/>
    <w:rsid w:val="1B9F4EC9"/>
    <w:rsid w:val="1C1B23B1"/>
    <w:rsid w:val="1CDC3027"/>
    <w:rsid w:val="1DC35F95"/>
    <w:rsid w:val="1E9F1F92"/>
    <w:rsid w:val="1EE5250D"/>
    <w:rsid w:val="1F5F1CED"/>
    <w:rsid w:val="1FCE2585"/>
    <w:rsid w:val="20511636"/>
    <w:rsid w:val="21863561"/>
    <w:rsid w:val="224D22D1"/>
    <w:rsid w:val="225A01E8"/>
    <w:rsid w:val="22FA3D02"/>
    <w:rsid w:val="234A072D"/>
    <w:rsid w:val="237510CC"/>
    <w:rsid w:val="23F01166"/>
    <w:rsid w:val="253D487F"/>
    <w:rsid w:val="25714529"/>
    <w:rsid w:val="283F5715"/>
    <w:rsid w:val="289449F8"/>
    <w:rsid w:val="29057122"/>
    <w:rsid w:val="2ADC12E2"/>
    <w:rsid w:val="2AE80DE9"/>
    <w:rsid w:val="2AEF2177"/>
    <w:rsid w:val="2B4C509C"/>
    <w:rsid w:val="2DF857E7"/>
    <w:rsid w:val="2DF87F72"/>
    <w:rsid w:val="2ED753FC"/>
    <w:rsid w:val="300264A9"/>
    <w:rsid w:val="30071D11"/>
    <w:rsid w:val="30095C2B"/>
    <w:rsid w:val="313740FB"/>
    <w:rsid w:val="340A1DD0"/>
    <w:rsid w:val="36EC64C1"/>
    <w:rsid w:val="373D698B"/>
    <w:rsid w:val="37EB3903"/>
    <w:rsid w:val="384653A1"/>
    <w:rsid w:val="3894435E"/>
    <w:rsid w:val="38DE1A7D"/>
    <w:rsid w:val="390B0AC4"/>
    <w:rsid w:val="39AB5E03"/>
    <w:rsid w:val="3AED2E24"/>
    <w:rsid w:val="3C6978B0"/>
    <w:rsid w:val="3DF17B5D"/>
    <w:rsid w:val="3E516ACD"/>
    <w:rsid w:val="3E6E79E5"/>
    <w:rsid w:val="3EFE4C27"/>
    <w:rsid w:val="3F656D44"/>
    <w:rsid w:val="402B4847"/>
    <w:rsid w:val="41545E02"/>
    <w:rsid w:val="44983428"/>
    <w:rsid w:val="45701CAF"/>
    <w:rsid w:val="47691EF3"/>
    <w:rsid w:val="48D507A7"/>
    <w:rsid w:val="48F16F90"/>
    <w:rsid w:val="497C50C6"/>
    <w:rsid w:val="49E60792"/>
    <w:rsid w:val="4A6A3171"/>
    <w:rsid w:val="4C6F1847"/>
    <w:rsid w:val="4CF3744D"/>
    <w:rsid w:val="4D2C0BB1"/>
    <w:rsid w:val="4E2F6BAB"/>
    <w:rsid w:val="502F2E92"/>
    <w:rsid w:val="50970590"/>
    <w:rsid w:val="54680721"/>
    <w:rsid w:val="54EB3100"/>
    <w:rsid w:val="556F5ADF"/>
    <w:rsid w:val="560A63F9"/>
    <w:rsid w:val="56895D6E"/>
    <w:rsid w:val="579E4B84"/>
    <w:rsid w:val="57DD5BC6"/>
    <w:rsid w:val="585A4825"/>
    <w:rsid w:val="58E55E33"/>
    <w:rsid w:val="5B6D31BC"/>
    <w:rsid w:val="5BFA3A04"/>
    <w:rsid w:val="5C0D63CC"/>
    <w:rsid w:val="5EA04F5B"/>
    <w:rsid w:val="5EEB4428"/>
    <w:rsid w:val="5F24793A"/>
    <w:rsid w:val="5F820462"/>
    <w:rsid w:val="5FC92290"/>
    <w:rsid w:val="60EA4147"/>
    <w:rsid w:val="61977087"/>
    <w:rsid w:val="62CB6B38"/>
    <w:rsid w:val="64633872"/>
    <w:rsid w:val="651071F1"/>
    <w:rsid w:val="655F791E"/>
    <w:rsid w:val="66763171"/>
    <w:rsid w:val="66AF21DF"/>
    <w:rsid w:val="66DB72B3"/>
    <w:rsid w:val="67204E8B"/>
    <w:rsid w:val="69477E6D"/>
    <w:rsid w:val="6A4C1E89"/>
    <w:rsid w:val="6AF92224"/>
    <w:rsid w:val="6BD66460"/>
    <w:rsid w:val="6C3513D9"/>
    <w:rsid w:val="6D905BD7"/>
    <w:rsid w:val="6E217E67"/>
    <w:rsid w:val="6F3C65DA"/>
    <w:rsid w:val="6F9E1043"/>
    <w:rsid w:val="6FB2332E"/>
    <w:rsid w:val="705F4C76"/>
    <w:rsid w:val="71FD4747"/>
    <w:rsid w:val="72646574"/>
    <w:rsid w:val="72781AD4"/>
    <w:rsid w:val="74BB67A0"/>
    <w:rsid w:val="756B5E6B"/>
    <w:rsid w:val="75C630A2"/>
    <w:rsid w:val="7639549A"/>
    <w:rsid w:val="76D016A8"/>
    <w:rsid w:val="775D17E4"/>
    <w:rsid w:val="77955421"/>
    <w:rsid w:val="77C27899"/>
    <w:rsid w:val="789D27E0"/>
    <w:rsid w:val="793842B6"/>
    <w:rsid w:val="79E716A6"/>
    <w:rsid w:val="7A545774"/>
    <w:rsid w:val="7B9E7E5E"/>
    <w:rsid w:val="7C6C098D"/>
    <w:rsid w:val="7C6F4493"/>
    <w:rsid w:val="7CF34F4E"/>
    <w:rsid w:val="7DEB5D9B"/>
    <w:rsid w:val="7FB4040F"/>
    <w:rsid w:val="7FBD5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Hyperlink"/>
    <w:basedOn w:val="7"/>
    <w:unhideWhenUsed/>
    <w:qFormat/>
    <w:uiPriority w:val="99"/>
    <w:rPr>
      <w:color w:val="0000FF"/>
      <w:u w:val="single"/>
    </w:rPr>
  </w:style>
  <w:style w:type="character" w:customStyle="1" w:styleId="9">
    <w:name w:val="title1"/>
    <w:qFormat/>
    <w:uiPriority w:val="0"/>
    <w:rPr>
      <w:b/>
      <w:bCs/>
      <w:color w:val="999900"/>
      <w:sz w:val="24"/>
      <w:szCs w:val="24"/>
    </w:rPr>
  </w:style>
  <w:style w:type="character" w:customStyle="1" w:styleId="10">
    <w:name w:val="页眉 字符"/>
    <w:basedOn w:val="7"/>
    <w:link w:val="4"/>
    <w:qFormat/>
    <w:uiPriority w:val="99"/>
    <w:rPr>
      <w:rFonts w:ascii="Times New Roman" w:hAnsi="Times New Roman" w:eastAsia="宋体" w:cs="Times New Roman"/>
      <w:sz w:val="18"/>
      <w:szCs w:val="18"/>
    </w:rPr>
  </w:style>
  <w:style w:type="character" w:customStyle="1" w:styleId="11">
    <w:name w:val="页脚 字符"/>
    <w:basedOn w:val="7"/>
    <w:link w:val="3"/>
    <w:qFormat/>
    <w:uiPriority w:val="99"/>
    <w:rPr>
      <w:rFonts w:ascii="Times New Roman" w:hAnsi="Times New Roman" w:eastAsia="宋体" w:cs="Times New Roman"/>
      <w:sz w:val="18"/>
      <w:szCs w:val="18"/>
    </w:rPr>
  </w:style>
  <w:style w:type="character" w:customStyle="1" w:styleId="12">
    <w:name w:val="font01"/>
    <w:qFormat/>
    <w:uiPriority w:val="0"/>
    <w:rPr>
      <w:rFonts w:hint="eastAsia" w:ascii="宋体" w:hAnsi="宋体" w:eastAsia="宋体" w:cs="宋体"/>
      <w:color w:val="000000"/>
      <w:sz w:val="20"/>
      <w:szCs w:val="20"/>
      <w:u w:val="none"/>
    </w:rPr>
  </w:style>
  <w:style w:type="character" w:customStyle="1" w:styleId="13">
    <w:name w:val="Unresolved Mention"/>
    <w:basedOn w:val="7"/>
    <w:semiHidden/>
    <w:unhideWhenUsed/>
    <w:qFormat/>
    <w:uiPriority w:val="99"/>
    <w:rPr>
      <w:color w:val="605E5C"/>
      <w:shd w:val="clear" w:color="auto" w:fill="E1DFDD"/>
    </w:rPr>
  </w:style>
  <w:style w:type="character" w:customStyle="1" w:styleId="14">
    <w:name w:val="fontstyle01"/>
    <w:basedOn w:val="7"/>
    <w:qFormat/>
    <w:uiPriority w:val="0"/>
    <w:rPr>
      <w:rFonts w:hint="eastAsia" w:ascii="宋体" w:hAnsi="宋体" w:eastAsia="宋体"/>
      <w:color w:val="000000"/>
      <w:sz w:val="24"/>
      <w:szCs w:val="24"/>
    </w:rPr>
  </w:style>
  <w:style w:type="paragraph" w:customStyle="1" w:styleId="15">
    <w:name w:val="样式1"/>
    <w:basedOn w:val="1"/>
    <w:link w:val="16"/>
    <w:qFormat/>
    <w:uiPriority w:val="0"/>
    <w:pPr>
      <w:spacing w:line="600" w:lineRule="exact"/>
      <w:ind w:firstLine="200" w:firstLineChars="200"/>
    </w:pPr>
    <w:rPr>
      <w:rFonts w:eastAsia="方正仿宋简体"/>
      <w:bCs/>
      <w:snapToGrid w:val="0"/>
      <w:kern w:val="0"/>
      <w:sz w:val="32"/>
      <w:szCs w:val="32"/>
    </w:rPr>
  </w:style>
  <w:style w:type="character" w:customStyle="1" w:styleId="16">
    <w:name w:val="样式1 字符"/>
    <w:basedOn w:val="7"/>
    <w:link w:val="15"/>
    <w:qFormat/>
    <w:uiPriority w:val="0"/>
    <w:rPr>
      <w:rFonts w:eastAsia="方正仿宋简体"/>
      <w:bCs/>
      <w:snapToGrid w:val="0"/>
      <w:sz w:val="32"/>
      <w:szCs w:val="32"/>
    </w:rPr>
  </w:style>
  <w:style w:type="paragraph" w:customStyle="1" w:styleId="1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1673</Words>
  <Characters>2202</Characters>
  <Lines>47</Lines>
  <Paragraphs>13</Paragraphs>
  <TotalTime>32</TotalTime>
  <ScaleCrop>false</ScaleCrop>
  <LinksUpToDate>false</LinksUpToDate>
  <CharactersWithSpaces>2321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2024-08-12T04:16:00Z</dcterms:created>
  <dc:creator>dell</dc:creator>
  <cp:lastModifiedBy>叶峻</cp:lastModifiedBy>
  <dcterms:modified xsi:type="dcterms:W3CDTF">2026-06-18T01:26:46Z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D5435DB5090A40B0A482FC495B6FEA97_13</vt:lpwstr>
  </property>
  <property fmtid="{D5CDD505-2E9C-101B-9397-08002B2CF9AE}" pid="4" name="KSOTemplateDocerSaveRecord">
    <vt:lpwstr>eyJoZGlkIjoiZTIxYWY3M2NhMDY5MjM1Mzk0MDZhZjZjNmFhY2U3Y2IiLCJ1c2VySWQiOiIxNzI4NDYzNDI4In0=</vt:lpwstr>
  </property>
</Properties>
</file>